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b/>
          <w:i w:val="0"/>
          <w:color w:val="000000"/>
          <w:sz w:val="50"/>
        </w:rPr>
        <w:t>Demográfiai területi és jövedelmi egyenlőtlenségek</w:t>
      </w:r>
    </w:p>
    <w:p>
      <w:pPr>
        <w:spacing w:after="360"/>
      </w:pPr>
      <w:r>
        <w:rPr>
          <w:rFonts w:ascii="Arial" w:hAnsi="Arial"/>
          <w:b w:val="0"/>
          <w:i w:val="0"/>
          <w:color w:val="666666"/>
          <w:sz w:val="28"/>
        </w:rPr>
        <w:t>A mentőállomások 15 perces népességi hatókörének technikai próbaelemzése</w:t>
      </w:r>
    </w:p>
    <w:p>
      <w:pPr>
        <w:spacing w:after="280"/>
      </w:pPr>
      <w:r>
        <w:rPr>
          <w:rFonts w:ascii="Arial" w:hAnsi="Arial"/>
          <w:b w:val="0"/>
          <w:i w:val="0"/>
          <w:color w:val="666666"/>
          <w:sz w:val="20"/>
        </w:rPr>
        <w:t>2026. október 18.</w:t>
      </w:r>
    </w:p>
    <w:p>
      <w:pPr>
        <w:spacing w:after="280"/>
      </w:pPr>
      <w:r>
        <w:rPr>
          <w:rFonts w:ascii="Arial" w:hAnsi="Arial"/>
          <w:b/>
          <w:i w:val="0"/>
          <w:color w:val="9C0006"/>
          <w:sz w:val="21"/>
        </w:rPr>
        <w:t>Állapot  Technikai próba  Nem publikálható országos OMSZ eredmény</w:t>
      </w:r>
    </w:p>
    <w:p>
      <w:pPr>
        <w:spacing w:after="240" w:line="283" w:lineRule="auto"/>
      </w:pPr>
      <w:r>
        <w:rPr>
          <w:rFonts w:ascii="Arial" w:hAnsi="Arial"/>
          <w:b w:val="0"/>
          <w:i w:val="0"/>
          <w:color w:val="000000"/>
          <w:sz w:val="24"/>
        </w:rPr>
        <w:t>A 100×100 méteres népességi és demográfiai adatok alapján az országos 63,16 százalékos próba P15 jelentős társadalmi és területi különbségeket takar. A legerősebb eltérés az alacsony és magas modellezett jövedelmű cellák között látszik. A jelen eredmény hipotézisalkotásra alkalmas, de a teljes hivatalos OMSZ bázishálózat egyeztetéséig nem szolgáltatási teljesítménymutató.</w:t>
      </w:r>
    </w:p>
    <w:p>
      <w:pPr>
        <w:pStyle w:val="Heading1"/>
      </w:pPr>
      <w:r>
        <w:t>A legfontosabb számok</w:t>
      </w:r>
    </w:p>
    <w:p>
      <w:pPr>
        <w:pStyle w:val="ListBullet"/>
        <w:spacing w:after="100"/>
      </w:pPr>
      <w:r>
        <w:rPr>
          <w:rFonts w:ascii="Arial" w:hAnsi="Arial"/>
          <w:b w:val="0"/>
          <w:i w:val="0"/>
          <w:color w:val="000000"/>
          <w:sz w:val="22"/>
        </w:rPr>
        <w:t>Országos próba P15  63,16%  6 015 569 elért fő a 9 524 974 fős nevezőből</w:t>
      </w:r>
    </w:p>
    <w:p>
      <w:pPr>
        <w:pStyle w:val="ListBullet"/>
        <w:spacing w:after="100"/>
      </w:pPr>
      <w:r>
        <w:rPr>
          <w:rFonts w:ascii="Arial" w:hAnsi="Arial"/>
          <w:b w:val="0"/>
          <w:i w:val="0"/>
          <w:color w:val="000000"/>
          <w:sz w:val="22"/>
        </w:rPr>
        <w:t>Alsó jövedelmi ötöd  32,47%</w:t>
      </w:r>
    </w:p>
    <w:p>
      <w:pPr>
        <w:pStyle w:val="ListBullet"/>
        <w:spacing w:after="100"/>
      </w:pPr>
      <w:r>
        <w:rPr>
          <w:rFonts w:ascii="Arial" w:hAnsi="Arial"/>
          <w:b w:val="0"/>
          <w:i w:val="0"/>
          <w:color w:val="000000"/>
          <w:sz w:val="22"/>
        </w:rPr>
        <w:t>Felső jövedelmi ötöd  86,67%</w:t>
      </w:r>
    </w:p>
    <w:p>
      <w:pPr>
        <w:pStyle w:val="ListBullet"/>
        <w:spacing w:after="100"/>
      </w:pPr>
      <w:r>
        <w:rPr>
          <w:rFonts w:ascii="Arial" w:hAnsi="Arial"/>
          <w:b w:val="0"/>
          <w:i w:val="0"/>
          <w:color w:val="000000"/>
          <w:sz w:val="22"/>
        </w:rPr>
        <w:t>Alsó jövedelmi ötöd az 500 fő alatti településeken  21,88%</w:t>
      </w:r>
    </w:p>
    <w:p>
      <w:r>
        <w:br w:type="page"/>
      </w:r>
    </w:p>
    <w:p>
      <w:pPr>
        <w:pStyle w:val="Heading1"/>
      </w:pPr>
      <w:r>
        <w:t>Vezetői összefoglaló</w:t>
      </w:r>
    </w:p>
    <w:p>
      <w:r>
        <w:rPr>
          <w:rFonts w:ascii="Arial" w:hAnsi="Arial"/>
          <w:b w:val="0"/>
          <w:i w:val="0"/>
          <w:color w:val="000000"/>
          <w:sz w:val="21"/>
        </w:rPr>
        <w:t>A próba alapján az országos átlag mögött erős jövedelmi és települési gradiens húzódik. Az alsó jövedelmi tized celláiban élők P15 értéke 25,69%, az alsó ötödé 32,47%, a felső ötödé pedig 86,67%. Az alsó és felső ötöd különbsége 54,19 százalékpont.</w:t>
      </w:r>
    </w:p>
    <w:p>
      <w:r>
        <w:rPr>
          <w:rFonts w:ascii="Arial" w:hAnsi="Arial"/>
          <w:b w:val="0"/>
          <w:i w:val="0"/>
          <w:color w:val="000000"/>
          <w:sz w:val="21"/>
        </w:rPr>
        <w:t>A különbség nem magyarázható kizárólag azzal, hogy az alacsonyabb jövedelmű népesség gyakrabban él kisebb településeken. Az 500 fő alatti településeken az alsó ötöd P15 értéke 21,88 százalék, a felső ötödé 52,80 százalék. Az 1 000–4 999 fős településeken ugyanez 26,72 és 51,89 százalék. Ez nem bizonyít önálló jövedelmi hatást, de indokolja a településméret és a jövedelem együttes vizsgálatát.</w:t>
      </w:r>
    </w:p>
    <w:p>
      <w:r>
        <w:rPr>
          <w:rFonts w:ascii="Arial" w:hAnsi="Arial"/>
          <w:b w:val="0"/>
          <w:i w:val="0"/>
          <w:color w:val="000000"/>
          <w:sz w:val="21"/>
        </w:rPr>
        <w:t>A demográfiai különbség kisebb. A 0–14 éves gyermekek P15 értéke 60,04%, míg a POP_63_x mezőé 65,04%. Az utóbbit definíciós tisztázásig nem nevezzük 65 év feletti népességnek.</w:t>
      </w:r>
    </w:p>
    <w:p>
      <w:pPr>
        <w:pStyle w:val="TableCaption"/>
        <w:keepNext/>
        <w:keepLines/>
      </w:pPr>
      <w:r>
        <w:t>1. táblázat  A próbaelemzés legfontosabb eredményei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3312"/>
        <w:gridCol w:w="3312"/>
        <w:gridCol w:w="3312"/>
      </w:tblGrid>
      <w:tr>
        <w:trPr>
          <w:tblHeader w:val="true"/>
        </w:trPr>
        <w:tc>
          <w:tcPr>
            <w:tcW w:type="dxa" w:w="6192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Vizsgált népesség</w:t>
            </w:r>
          </w:p>
        </w:tc>
        <w:tc>
          <w:tcPr>
            <w:tcW w:type="dxa" w:w="1944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Népesség</w:t>
            </w:r>
          </w:p>
        </w:tc>
        <w:tc>
          <w:tcPr>
            <w:tcW w:type="dxa" w:w="1655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P15</w:t>
            </w:r>
          </w:p>
        </w:tc>
      </w:tr>
      <w:tr>
        <w:trPr>
          <w:cantSplit/>
        </w:trPr>
        <w:tc>
          <w:tcPr>
            <w:tcW w:type="dxa" w:w="61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Teljes népesség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9 524 974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63,16%</w:t>
            </w:r>
          </w:p>
        </w:tc>
      </w:tr>
      <w:tr>
        <w:trPr>
          <w:cantSplit/>
        </w:trPr>
        <w:tc>
          <w:tcPr>
            <w:tcW w:type="dxa" w:w="619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Gyermekek 0–14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1 371 308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60,04%</w:t>
            </w:r>
          </w:p>
        </w:tc>
      </w:tr>
      <w:tr>
        <w:trPr>
          <w:cantSplit/>
        </w:trPr>
        <w:tc>
          <w:tcPr>
            <w:tcW w:type="dxa" w:w="61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POP_63_x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2 205 760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65,04%</w:t>
            </w:r>
          </w:p>
        </w:tc>
      </w:tr>
      <w:tr>
        <w:trPr>
          <w:cantSplit/>
        </w:trPr>
        <w:tc>
          <w:tcPr>
            <w:tcW w:type="dxa" w:w="619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Alsó jövedelmi tized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955 538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25,69%</w:t>
            </w:r>
          </w:p>
        </w:tc>
      </w:tr>
      <w:tr>
        <w:trPr>
          <w:cantSplit/>
        </w:trPr>
        <w:tc>
          <w:tcPr>
            <w:tcW w:type="dxa" w:w="61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Alsó jövedelmi ötöd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1 905 309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32,47%</w:t>
            </w:r>
          </w:p>
        </w:tc>
      </w:tr>
      <w:tr>
        <w:trPr>
          <w:cantSplit/>
        </w:trPr>
        <w:tc>
          <w:tcPr>
            <w:tcW w:type="dxa" w:w="619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Felső jövedelmi ötöd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1 906 279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86,67%</w:t>
            </w:r>
          </w:p>
        </w:tc>
      </w:tr>
      <w:tr>
        <w:trPr>
          <w:cantSplit/>
        </w:trPr>
        <w:tc>
          <w:tcPr>
            <w:tcW w:type="dxa" w:w="61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500 fő alatti települések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290 817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29,57%</w:t>
            </w:r>
          </w:p>
        </w:tc>
      </w:tr>
      <w:tr>
        <w:trPr>
          <w:cantSplit/>
        </w:trPr>
        <w:tc>
          <w:tcPr>
            <w:tcW w:type="dxa" w:w="619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Alsó ötöd 500 fő alatt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158 887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21,88%</w:t>
            </w:r>
          </w:p>
        </w:tc>
      </w:tr>
    </w:tbl>
    <w:p>
      <w:pPr>
        <w:spacing w:after="20"/>
      </w:pPr>
    </w:p>
    <w:p>
      <w:pPr>
        <w:pStyle w:val="Heading1"/>
      </w:pPr>
      <w:r>
        <w:t>A jövedelmi rétegek meghatározása</w:t>
      </w:r>
    </w:p>
    <w:p>
      <w:r>
        <w:rPr>
          <w:rFonts w:ascii="Arial" w:hAnsi="Arial"/>
          <w:b w:val="0"/>
          <w:i w:val="0"/>
          <w:color w:val="000000"/>
          <w:sz w:val="21"/>
        </w:rPr>
        <w:t>Az INCOME mező a GeoX dokumentációja szerint 2026-os, egy főre jutó éves nettó jövedelem, mértékegysége Ft per fő. A mező modellezett cellaszintű érték. Nem egyéni jövedelem, nem háztartási felvétel és nem hivatalos szegénységi besorolás.</w:t>
      </w:r>
    </w:p>
    <w:p>
      <w:r>
        <w:rPr>
          <w:rFonts w:ascii="Arial" w:hAnsi="Arial"/>
          <w:b w:val="0"/>
          <w:i w:val="0"/>
          <w:color w:val="000000"/>
          <w:sz w:val="21"/>
        </w:rPr>
        <w:t>A jövedelmi tizedeket a pozitív INCOME értékű cellákban élő népesség személyszámmal súlyozott országos eloszlásából képeztük. A nulla vagy nem pozitív értékkel rendelkező 2 453 főt külön auditáltuk, és nem soroltuk automatikusan a legalsó rétegbe.</w:t>
      </w:r>
    </w:p>
    <w:p>
      <w:pPr>
        <w:pStyle w:val="TableCaption"/>
        <w:keepNext/>
        <w:keepLines/>
      </w:pPr>
      <w:r>
        <w:t>2. táblázat  A jövedelmi rétegek népességgel súlyozott határai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3312"/>
        <w:gridCol w:w="3312"/>
        <w:gridCol w:w="3312"/>
      </w:tblGrid>
      <w:tr>
        <w:trPr>
          <w:tblHeader w:val="true"/>
        </w:trPr>
        <w:tc>
          <w:tcPr>
            <w:tcW w:type="dxa" w:w="3240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Határ</w:t>
            </w:r>
          </w:p>
        </w:tc>
        <w:tc>
          <w:tcPr>
            <w:tcW w:type="dxa" w:w="3168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Éves nettó Ft per fő</w:t>
            </w:r>
          </w:p>
        </w:tc>
        <w:tc>
          <w:tcPr>
            <w:tcW w:type="dxa" w:w="3384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Havi egyenérték Ft per fő</w:t>
            </w:r>
          </w:p>
        </w:tc>
      </w:tr>
      <w:tr>
        <w:trPr>
          <w:cantSplit/>
        </w:trP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10. percentilis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1 981 000</w:t>
            </w:r>
          </w:p>
        </w:tc>
        <w:tc>
          <w:tcPr>
            <w:tcW w:type="dxa" w:w="33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165 083</w:t>
            </w:r>
          </w:p>
        </w:tc>
      </w:tr>
      <w:tr>
        <w:trPr>
          <w:cantSplit/>
        </w:trPr>
        <w:tc>
          <w:tcPr>
            <w:tcW w:type="dxa" w:w="324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20. percentilis</w:t>
            </w:r>
          </w:p>
        </w:tc>
        <w:tc>
          <w:tcPr>
            <w:tcW w:type="dxa" w:w="316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2 153 000</w:t>
            </w:r>
          </w:p>
        </w:tc>
        <w:tc>
          <w:tcPr>
            <w:tcW w:type="dxa" w:w="33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179 417</w:t>
            </w:r>
          </w:p>
        </w:tc>
      </w:tr>
      <w:tr>
        <w:trPr>
          <w:cantSplit/>
        </w:trP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50. percentilis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2 627 000</w:t>
            </w:r>
          </w:p>
        </w:tc>
        <w:tc>
          <w:tcPr>
            <w:tcW w:type="dxa" w:w="33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218 917</w:t>
            </w:r>
          </w:p>
        </w:tc>
      </w:tr>
      <w:tr>
        <w:trPr>
          <w:cantSplit/>
        </w:trPr>
        <w:tc>
          <w:tcPr>
            <w:tcW w:type="dxa" w:w="324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80. percentilis</w:t>
            </w:r>
          </w:p>
        </w:tc>
        <w:tc>
          <w:tcPr>
            <w:tcW w:type="dxa" w:w="316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3 096 000</w:t>
            </w:r>
          </w:p>
        </w:tc>
        <w:tc>
          <w:tcPr>
            <w:tcW w:type="dxa" w:w="33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258 000</w:t>
            </w:r>
          </w:p>
        </w:tc>
      </w:tr>
      <w:tr>
        <w:trPr>
          <w:cantSplit/>
        </w:trP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90. percentilis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3 348 000</w:t>
            </w:r>
          </w:p>
        </w:tc>
        <w:tc>
          <w:tcPr>
            <w:tcW w:type="dxa" w:w="33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279 000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 w:val="0"/>
          <w:color w:val="000000"/>
          <w:sz w:val="21"/>
        </w:rPr>
        <w:t>A továbbiakban a legszegényebb kifejezés helyett az alacsony modellezett egy főre jutó jövedelmű cellákban élő népesség megfogalmazást használjuk.</w:t>
      </w:r>
    </w:p>
    <w:p>
      <w:pPr>
        <w:pStyle w:val="Heading1"/>
      </w:pPr>
      <w:r>
        <w:t>Demográfiai különbségek</w:t>
      </w:r>
    </w:p>
    <w:p>
      <w:r>
        <w:rPr>
          <w:rFonts w:ascii="Arial" w:hAnsi="Arial"/>
          <w:b w:val="0"/>
          <w:i w:val="0"/>
          <w:color w:val="000000"/>
          <w:sz w:val="21"/>
        </w:rPr>
        <w:t>A korcsoportos bontás mérsékelt, de következetes eltérést mutat. A gyermekek lefedettsége 3,11 százalékponttal marad el az országos átlagtól. A mezőalapú 15–62 éves összeg gyakorlatilag az országos átlagon van. Ez a technikai összeg nem azonos a nemzetközileg szokásos 15–64 éves aktív korú definícióval.</w:t>
      </w:r>
    </w:p>
    <w:p>
      <w:pPr>
        <w:pStyle w:val="TableCaption"/>
        <w:keepNext/>
        <w:keepLines/>
      </w:pPr>
      <w:r>
        <w:t>3. táblázat  P15 korcsoport és mezőalapú életkori összeg szerint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4752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Csoport</w:t>
            </w:r>
          </w:p>
        </w:tc>
        <w:tc>
          <w:tcPr>
            <w:tcW w:type="dxa" w:w="1800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Népesség</w:t>
            </w:r>
          </w:p>
        </w:tc>
        <w:tc>
          <w:tcPr>
            <w:tcW w:type="dxa" w:w="1296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P15</w:t>
            </w:r>
          </w:p>
        </w:tc>
        <w:tc>
          <w:tcPr>
            <w:tcW w:type="dxa" w:w="1944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Eltérés százalékpont</w:t>
            </w:r>
          </w:p>
        </w:tc>
      </w:tr>
      <w:tr>
        <w:trPr>
          <w:cantSplit/>
        </w:trPr>
        <w:tc>
          <w:tcPr>
            <w:tcW w:type="dxa" w:w="47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Teljes népesség</w:t>
            </w:r>
          </w:p>
        </w:tc>
        <w:tc>
          <w:tcPr>
            <w:tcW w:type="dxa" w:w="18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9 524 974</w:t>
            </w:r>
          </w:p>
        </w:tc>
        <w:tc>
          <w:tcPr>
            <w:tcW w:type="dxa" w:w="12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63,16%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+0,00</w:t>
            </w:r>
          </w:p>
        </w:tc>
      </w:tr>
      <w:tr>
        <w:trPr>
          <w:cantSplit/>
        </w:trPr>
        <w:tc>
          <w:tcPr>
            <w:tcW w:type="dxa" w:w="475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Gyermekek (0–14)</w:t>
            </w:r>
          </w:p>
        </w:tc>
        <w:tc>
          <w:tcPr>
            <w:tcW w:type="dxa" w:w="180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1 371 308</w:t>
            </w:r>
          </w:p>
        </w:tc>
        <w:tc>
          <w:tcPr>
            <w:tcW w:type="dxa" w:w="129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60,04%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-3,11</w:t>
            </w:r>
          </w:p>
        </w:tc>
      </w:tr>
      <w:tr>
        <w:trPr>
          <w:cantSplit/>
        </w:trPr>
        <w:tc>
          <w:tcPr>
            <w:tcW w:type="dxa" w:w="47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15–18 évesek</w:t>
            </w:r>
          </w:p>
        </w:tc>
        <w:tc>
          <w:tcPr>
            <w:tcW w:type="dxa" w:w="18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389 160</w:t>
            </w:r>
          </w:p>
        </w:tc>
        <w:tc>
          <w:tcPr>
            <w:tcW w:type="dxa" w:w="12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62,60%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-0,56</w:t>
            </w:r>
          </w:p>
        </w:tc>
      </w:tr>
      <w:tr>
        <w:trPr>
          <w:cantSplit/>
        </w:trPr>
        <w:tc>
          <w:tcPr>
            <w:tcW w:type="dxa" w:w="475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19–30 évesek</w:t>
            </w:r>
          </w:p>
        </w:tc>
        <w:tc>
          <w:tcPr>
            <w:tcW w:type="dxa" w:w="180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1 204 390</w:t>
            </w:r>
          </w:p>
        </w:tc>
        <w:tc>
          <w:tcPr>
            <w:tcW w:type="dxa" w:w="129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60,76%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-2,39</w:t>
            </w:r>
          </w:p>
        </w:tc>
      </w:tr>
      <w:tr>
        <w:trPr>
          <w:cantSplit/>
        </w:trPr>
        <w:tc>
          <w:tcPr>
            <w:tcW w:type="dxa" w:w="47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31–62 évesek</w:t>
            </w:r>
          </w:p>
        </w:tc>
        <w:tc>
          <w:tcPr>
            <w:tcW w:type="dxa" w:w="18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4 354 356</w:t>
            </w:r>
          </w:p>
        </w:tc>
        <w:tc>
          <w:tcPr>
            <w:tcW w:type="dxa" w:w="12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63,89%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+0,74</w:t>
            </w:r>
          </w:p>
        </w:tc>
      </w:tr>
      <w:tr>
        <w:trPr>
          <w:cantSplit/>
        </w:trPr>
        <w:tc>
          <w:tcPr>
            <w:tcW w:type="dxa" w:w="475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Mezőalapú 15–62 éves összeg</w:t>
            </w:r>
          </w:p>
        </w:tc>
        <w:tc>
          <w:tcPr>
            <w:tcW w:type="dxa" w:w="180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5 947 906</w:t>
            </w:r>
          </w:p>
        </w:tc>
        <w:tc>
          <w:tcPr>
            <w:tcW w:type="dxa" w:w="129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63,17%</w:t>
            </w:r>
          </w:p>
        </w:tc>
        <w:tc>
          <w:tcPr>
            <w:tcW w:type="dxa" w:w="194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+0,02</w:t>
            </w:r>
          </w:p>
        </w:tc>
      </w:tr>
      <w:tr>
        <w:trPr>
          <w:cantSplit/>
        </w:trPr>
        <w:tc>
          <w:tcPr>
            <w:tcW w:type="dxa" w:w="47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POP_63_x (a mezőnév szerint 63+)</w:t>
            </w:r>
          </w:p>
        </w:tc>
        <w:tc>
          <w:tcPr>
            <w:tcW w:type="dxa" w:w="18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2 205 760</w:t>
            </w:r>
          </w:p>
        </w:tc>
        <w:tc>
          <w:tcPr>
            <w:tcW w:type="dxa" w:w="12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65,04%</w:t>
            </w:r>
          </w:p>
        </w:tc>
        <w:tc>
          <w:tcPr>
            <w:tcW w:type="dxa" w:w="19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+1,88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 w:val="0"/>
          <w:color w:val="000000"/>
          <w:sz w:val="21"/>
        </w:rPr>
        <w:t>Az alsó jövedelmi ötöd celláiban a gyermekek P15 értéke 29,35 százalék, a POP_63_x mezőé 35,21 százalék. A jövedelmi hátrány tehát minden vizsgált életkori csoportban megjelenik.</w:t>
      </w:r>
    </w:p>
    <w:p>
      <w:pPr>
        <w:pStyle w:val="Heading1"/>
      </w:pPr>
      <w:r>
        <w:t>Településméret szerinti különbségek</w:t>
      </w:r>
    </w:p>
    <w:p>
      <w:r>
        <w:rPr>
          <w:rFonts w:ascii="Arial" w:hAnsi="Arial"/>
          <w:b w:val="0"/>
          <w:i w:val="0"/>
          <w:color w:val="000000"/>
          <w:sz w:val="21"/>
        </w:rPr>
        <w:t>A legnagyobb területi törés a kis települések és a nagyvárosok között látszik. A mutató népességsúlyozott: nem a települési százalékok egyszerű átlaga, hanem az adott méretcsoport teljes lakosságából indul ki.</w:t>
      </w:r>
    </w:p>
    <w:p>
      <w:pPr>
        <w:pStyle w:val="TableCaption"/>
        <w:keepNext/>
        <w:keepLines/>
      </w:pPr>
      <w:r>
        <w:t>4. táblázat  Népességsúlyozott P15 településméret szerint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4536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Településméret</w:t>
            </w:r>
          </w:p>
        </w:tc>
        <w:tc>
          <w:tcPr>
            <w:tcW w:type="dxa" w:w="1655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Települések</w:t>
            </w:r>
          </w:p>
        </w:tc>
        <w:tc>
          <w:tcPr>
            <w:tcW w:type="dxa" w:w="2015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Népesség</w:t>
            </w:r>
          </w:p>
        </w:tc>
        <w:tc>
          <w:tcPr>
            <w:tcW w:type="dxa" w:w="1584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P15</w:t>
            </w:r>
          </w:p>
        </w:tc>
      </w:tr>
      <w:tr>
        <w:trPr>
          <w:cantSplit/>
        </w:trPr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&lt;500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1 107</w:t>
            </w:r>
          </w:p>
        </w:tc>
        <w:tc>
          <w:tcPr>
            <w:tcW w:type="dxa" w:w="20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290 817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29,57%</w:t>
            </w:r>
          </w:p>
        </w:tc>
      </w:tr>
      <w:tr>
        <w:trPr>
          <w:cantSplit/>
        </w:trPr>
        <w:tc>
          <w:tcPr>
            <w:tcW w:type="dxa" w:w="453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500–999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678</w:t>
            </w:r>
          </w:p>
        </w:tc>
        <w:tc>
          <w:tcPr>
            <w:tcW w:type="dxa" w:w="201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489 385</w:t>
            </w:r>
          </w:p>
        </w:tc>
        <w:tc>
          <w:tcPr>
            <w:tcW w:type="dxa" w:w="15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33,70%</w:t>
            </w:r>
          </w:p>
        </w:tc>
      </w:tr>
      <w:tr>
        <w:trPr>
          <w:cantSplit/>
        </w:trPr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1 000–4 999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1 087</w:t>
            </w:r>
          </w:p>
        </w:tc>
        <w:tc>
          <w:tcPr>
            <w:tcW w:type="dxa" w:w="20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2 332 272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34,82%</w:t>
            </w:r>
          </w:p>
        </w:tc>
      </w:tr>
      <w:tr>
        <w:trPr>
          <w:cantSplit/>
        </w:trPr>
        <w:tc>
          <w:tcPr>
            <w:tcW w:type="dxa" w:w="453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5 000–19 999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224</w:t>
            </w:r>
          </w:p>
        </w:tc>
        <w:tc>
          <w:tcPr>
            <w:tcW w:type="dxa" w:w="201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2 108 434</w:t>
            </w:r>
          </w:p>
        </w:tc>
        <w:tc>
          <w:tcPr>
            <w:tcW w:type="dxa" w:w="15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52,77%</w:t>
            </w:r>
          </w:p>
        </w:tc>
      </w:tr>
      <w:tr>
        <w:trPr>
          <w:cantSplit/>
        </w:trPr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20 000–99 999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51</w:t>
            </w:r>
          </w:p>
        </w:tc>
        <w:tc>
          <w:tcPr>
            <w:tcW w:type="dxa" w:w="20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1 798 641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75,94%</w:t>
            </w:r>
          </w:p>
        </w:tc>
      </w:tr>
      <w:tr>
        <w:trPr>
          <w:cantSplit/>
        </w:trPr>
        <w:tc>
          <w:tcPr>
            <w:tcW w:type="dxa" w:w="453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≥100 000, Budapest nélkül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201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946 263</w:t>
            </w:r>
          </w:p>
        </w:tc>
        <w:tc>
          <w:tcPr>
            <w:tcW w:type="dxa" w:w="15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97,25%</w:t>
            </w:r>
          </w:p>
        </w:tc>
      </w:tr>
      <w:tr>
        <w:trPr>
          <w:cantSplit/>
        </w:trPr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Budapest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20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1 559 162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99,67%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 w:val="0"/>
          <w:color w:val="000000"/>
          <w:sz w:val="21"/>
        </w:rPr>
        <w:t>Az 500 fő alatti települések 29,57 százalékos, az 500–999 fős települések 33,70 százalékos, az 1 000–4 999 fős települések pedig 34,82 százalékos P15 értéket mutatnak. A legalább 100 ezres, Budapesten kívüli városok értéke 97,25 százalék, Budapesté 99,67 százalék.</w:t>
      </w:r>
    </w:p>
    <w:p>
      <w:pPr>
        <w:pStyle w:val="Heading1"/>
      </w:pPr>
      <w:r>
        <w:t>Jövedelmi különbségek</w:t>
      </w:r>
    </w:p>
    <w:p>
      <w:r>
        <w:rPr>
          <w:rFonts w:ascii="Arial" w:hAnsi="Arial"/>
          <w:b w:val="0"/>
          <w:i w:val="0"/>
          <w:color w:val="000000"/>
          <w:sz w:val="21"/>
        </w:rPr>
        <w:t>A decilisek között szinte lépcsőzetes gradiens látszik. A D1 csoport 25,69 százalékos értékétől a D10 csoport 89,22 százalékáig minden jövedelmi tizedben nő a P15. Ez a minta számítási szempontból stabil, de az OSM állomáslista hiányosságai a különbség mértékét torzíthatják.</w:t>
      </w:r>
    </w:p>
    <w:p>
      <w:pPr>
        <w:pStyle w:val="TableCaption"/>
        <w:keepNext/>
        <w:keepLines/>
      </w:pPr>
      <w:r>
        <w:t>5. táblázat  P15 a modellezett jövedelmi tizedekben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1224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Tized</w:t>
            </w:r>
          </w:p>
        </w:tc>
        <w:tc>
          <w:tcPr>
            <w:tcW w:type="dxa" w:w="3960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Éves nettó Ft per fő</w:t>
            </w:r>
          </w:p>
        </w:tc>
        <w:tc>
          <w:tcPr>
            <w:tcW w:type="dxa" w:w="2088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Népesség</w:t>
            </w:r>
          </w:p>
        </w:tc>
        <w:tc>
          <w:tcPr>
            <w:tcW w:type="dxa" w:w="1512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P15</w:t>
            </w:r>
          </w:p>
        </w:tc>
      </w:tr>
      <w:tr>
        <w:trPr>
          <w:cantSplit/>
        </w:trPr>
        <w:tc>
          <w:tcPr>
            <w:tcW w:type="dxa" w:w="12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D1</w:t>
            </w:r>
          </w:p>
        </w:tc>
        <w:tc>
          <w:tcPr>
            <w:tcW w:type="dxa" w:w="39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695 000–1 981 000</w:t>
            </w:r>
          </w:p>
        </w:tc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955 538</w:t>
            </w:r>
          </w:p>
        </w:tc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25,69%</w:t>
            </w:r>
          </w:p>
        </w:tc>
      </w:tr>
      <w:tr>
        <w:trPr>
          <w:cantSplit/>
        </w:trPr>
        <w:tc>
          <w:tcPr>
            <w:tcW w:type="dxa" w:w="122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D2</w:t>
            </w:r>
          </w:p>
        </w:tc>
        <w:tc>
          <w:tcPr>
            <w:tcW w:type="dxa" w:w="396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1 982 000–2 153 000</w:t>
            </w:r>
          </w:p>
        </w:tc>
        <w:tc>
          <w:tcPr>
            <w:tcW w:type="dxa" w:w="208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949 771</w:t>
            </w:r>
          </w:p>
        </w:tc>
        <w:tc>
          <w:tcPr>
            <w:tcW w:type="dxa" w:w="151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39,30%</w:t>
            </w:r>
          </w:p>
        </w:tc>
      </w:tr>
      <w:tr>
        <w:trPr>
          <w:cantSplit/>
        </w:trPr>
        <w:tc>
          <w:tcPr>
            <w:tcW w:type="dxa" w:w="12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D3</w:t>
            </w:r>
          </w:p>
        </w:tc>
        <w:tc>
          <w:tcPr>
            <w:tcW w:type="dxa" w:w="39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2 154 000–2 324 000</w:t>
            </w:r>
          </w:p>
        </w:tc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956 639</w:t>
            </w:r>
          </w:p>
        </w:tc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46,78%</w:t>
            </w:r>
          </w:p>
        </w:tc>
      </w:tr>
      <w:tr>
        <w:trPr>
          <w:cantSplit/>
        </w:trPr>
        <w:tc>
          <w:tcPr>
            <w:tcW w:type="dxa" w:w="122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D4</w:t>
            </w:r>
          </w:p>
        </w:tc>
        <w:tc>
          <w:tcPr>
            <w:tcW w:type="dxa" w:w="396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2 325 000–2 484 000</w:t>
            </w:r>
          </w:p>
        </w:tc>
        <w:tc>
          <w:tcPr>
            <w:tcW w:type="dxa" w:w="208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951 631</w:t>
            </w:r>
          </w:p>
        </w:tc>
        <w:tc>
          <w:tcPr>
            <w:tcW w:type="dxa" w:w="151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54,54%</w:t>
            </w:r>
          </w:p>
        </w:tc>
      </w:tr>
      <w:tr>
        <w:trPr>
          <w:cantSplit/>
        </w:trPr>
        <w:tc>
          <w:tcPr>
            <w:tcW w:type="dxa" w:w="12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D5</w:t>
            </w:r>
          </w:p>
        </w:tc>
        <w:tc>
          <w:tcPr>
            <w:tcW w:type="dxa" w:w="39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2 485 000–2 627 000</w:t>
            </w:r>
          </w:p>
        </w:tc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952 344</w:t>
            </w:r>
          </w:p>
        </w:tc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63,49%</w:t>
            </w:r>
          </w:p>
        </w:tc>
      </w:tr>
      <w:tr>
        <w:trPr>
          <w:cantSplit/>
        </w:trPr>
        <w:tc>
          <w:tcPr>
            <w:tcW w:type="dxa" w:w="122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D6</w:t>
            </w:r>
          </w:p>
        </w:tc>
        <w:tc>
          <w:tcPr>
            <w:tcW w:type="dxa" w:w="396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2 628 000–2 762 000</w:t>
            </w:r>
          </w:p>
        </w:tc>
        <w:tc>
          <w:tcPr>
            <w:tcW w:type="dxa" w:w="208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948 174</w:t>
            </w:r>
          </w:p>
        </w:tc>
        <w:tc>
          <w:tcPr>
            <w:tcW w:type="dxa" w:w="151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71,14%</w:t>
            </w:r>
          </w:p>
        </w:tc>
      </w:tr>
      <w:tr>
        <w:trPr>
          <w:cantSplit/>
        </w:trPr>
        <w:tc>
          <w:tcPr>
            <w:tcW w:type="dxa" w:w="12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D7</w:t>
            </w:r>
          </w:p>
        </w:tc>
        <w:tc>
          <w:tcPr>
            <w:tcW w:type="dxa" w:w="39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2 763 000–2 916 000</w:t>
            </w:r>
          </w:p>
        </w:tc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956 926</w:t>
            </w:r>
          </w:p>
        </w:tc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76,06%</w:t>
            </w:r>
          </w:p>
        </w:tc>
      </w:tr>
      <w:tr>
        <w:trPr>
          <w:cantSplit/>
        </w:trPr>
        <w:tc>
          <w:tcPr>
            <w:tcW w:type="dxa" w:w="122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D8</w:t>
            </w:r>
          </w:p>
        </w:tc>
        <w:tc>
          <w:tcPr>
            <w:tcW w:type="dxa" w:w="396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2 917 000–3 096 000</w:t>
            </w:r>
          </w:p>
        </w:tc>
        <w:tc>
          <w:tcPr>
            <w:tcW w:type="dxa" w:w="208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950 432</w:t>
            </w:r>
          </w:p>
        </w:tc>
        <w:tc>
          <w:tcPr>
            <w:tcW w:type="dxa" w:w="151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81,48%</w:t>
            </w:r>
          </w:p>
        </w:tc>
      </w:tr>
      <w:tr>
        <w:trPr>
          <w:cantSplit/>
        </w:trPr>
        <w:tc>
          <w:tcPr>
            <w:tcW w:type="dxa" w:w="12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D9</w:t>
            </w:r>
          </w:p>
        </w:tc>
        <w:tc>
          <w:tcPr>
            <w:tcW w:type="dxa" w:w="39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3 097 000–3 348 000</w:t>
            </w:r>
          </w:p>
        </w:tc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949 438</w:t>
            </w:r>
          </w:p>
        </w:tc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84,15%</w:t>
            </w:r>
          </w:p>
        </w:tc>
      </w:tr>
      <w:tr>
        <w:trPr>
          <w:cantSplit/>
        </w:trPr>
        <w:tc>
          <w:tcPr>
            <w:tcW w:type="dxa" w:w="122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D10</w:t>
            </w:r>
          </w:p>
        </w:tc>
        <w:tc>
          <w:tcPr>
            <w:tcW w:type="dxa" w:w="396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3 349 000–6 245 000</w:t>
            </w:r>
          </w:p>
        </w:tc>
        <w:tc>
          <w:tcPr>
            <w:tcW w:type="dxa" w:w="2088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951 628</w:t>
            </w:r>
          </w:p>
        </w:tc>
        <w:tc>
          <w:tcPr>
            <w:tcW w:type="dxa" w:w="1512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89,22%</w:t>
            </w:r>
          </w:p>
        </w:tc>
      </w:tr>
    </w:tbl>
    <w:p>
      <w:pPr>
        <w:spacing w:after="20"/>
      </w:pPr>
    </w:p>
    <w:p>
      <w:pPr>
        <w:pStyle w:val="Heading1"/>
      </w:pPr>
      <w:r>
        <w:t>A jövedelem és a településméret együttes mintázata</w:t>
      </w:r>
    </w:p>
    <w:p>
      <w:pPr>
        <w:pStyle w:val="TableCaption"/>
        <w:keepNext/>
        <w:keepLines/>
      </w:pPr>
      <w:r>
        <w:t>6. táblázat  P15 a jövedelmi réteg és a településméret metszetében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4320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Településméret</w:t>
            </w:r>
          </w:p>
        </w:tc>
        <w:tc>
          <w:tcPr>
            <w:tcW w:type="dxa" w:w="1655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Alsó ötöd</w:t>
            </w:r>
          </w:p>
        </w:tc>
        <w:tc>
          <w:tcPr>
            <w:tcW w:type="dxa" w:w="2376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Középső három ötöd</w:t>
            </w:r>
          </w:p>
        </w:tc>
        <w:tc>
          <w:tcPr>
            <w:tcW w:type="dxa" w:w="1584"/>
            <w:shd w:fill="1F4E7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Felső ötöd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&lt;500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21,88%</w:t>
            </w:r>
          </w:p>
        </w:tc>
        <w:tc>
          <w:tcPr>
            <w:tcW w:type="dxa" w:w="23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36,89%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52,80%</w:t>
            </w:r>
          </w:p>
        </w:tc>
      </w:tr>
      <w:tr>
        <w:trPr>
          <w:cantSplit/>
        </w:trPr>
        <w:tc>
          <w:tcPr>
            <w:tcW w:type="dxa" w:w="432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500–999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26,90%</w:t>
            </w:r>
          </w:p>
        </w:tc>
        <w:tc>
          <w:tcPr>
            <w:tcW w:type="dxa" w:w="237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39,96%</w:t>
            </w:r>
          </w:p>
        </w:tc>
        <w:tc>
          <w:tcPr>
            <w:tcW w:type="dxa" w:w="15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50,38%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1 000–4 999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26,72%</w:t>
            </w:r>
          </w:p>
        </w:tc>
        <w:tc>
          <w:tcPr>
            <w:tcW w:type="dxa" w:w="23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38,10%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51,89%</w:t>
            </w:r>
          </w:p>
        </w:tc>
      </w:tr>
      <w:tr>
        <w:trPr>
          <w:cantSplit/>
        </w:trPr>
        <w:tc>
          <w:tcPr>
            <w:tcW w:type="dxa" w:w="432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5 000–19 999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38,24%</w:t>
            </w:r>
          </w:p>
        </w:tc>
        <w:tc>
          <w:tcPr>
            <w:tcW w:type="dxa" w:w="237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52,88%</w:t>
            </w:r>
          </w:p>
        </w:tc>
        <w:tc>
          <w:tcPr>
            <w:tcW w:type="dxa" w:w="15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75,48%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20 000–99 999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54,52%</w:t>
            </w:r>
          </w:p>
        </w:tc>
        <w:tc>
          <w:tcPr>
            <w:tcW w:type="dxa" w:w="23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75,05%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83,23%</w:t>
            </w:r>
          </w:p>
        </w:tc>
      </w:tr>
      <w:tr>
        <w:trPr>
          <w:cantSplit/>
        </w:trPr>
        <w:tc>
          <w:tcPr>
            <w:tcW w:type="dxa" w:w="4320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≥100 000</w:t>
              <w:br/>
              <w:t>Budapest nélkül</w:t>
            </w:r>
          </w:p>
        </w:tc>
        <w:tc>
          <w:tcPr>
            <w:tcW w:type="dxa" w:w="1655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91,28%</w:t>
            </w:r>
          </w:p>
        </w:tc>
        <w:tc>
          <w:tcPr>
            <w:tcW w:type="dxa" w:w="2376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97,27%</w:t>
            </w:r>
          </w:p>
        </w:tc>
        <w:tc>
          <w:tcPr>
            <w:tcW w:type="dxa" w:w="1584"/>
            <w:shd w:fill="EAF2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98,20%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Budapest</w:t>
            </w:r>
          </w:p>
        </w:tc>
        <w:tc>
          <w:tcPr>
            <w:tcW w:type="dxa" w:w="165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100,00%</w:t>
            </w:r>
          </w:p>
        </w:tc>
        <w:tc>
          <w:tcPr>
            <w:tcW w:type="dxa" w:w="23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99,68%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000000"/>
                <w:sz w:val="17"/>
              </w:rPr>
              <w:t>99,65%</w:t>
            </w:r>
          </w:p>
        </w:tc>
      </w:tr>
    </w:tbl>
    <w:p>
      <w:pPr>
        <w:spacing w:after="20"/>
      </w:pPr>
    </w:p>
    <w:p>
      <w:r>
        <w:rPr>
          <w:rFonts w:ascii="Arial" w:hAnsi="Arial"/>
          <w:b w:val="0"/>
          <w:i w:val="0"/>
          <w:color w:val="000000"/>
          <w:sz w:val="21"/>
        </w:rPr>
        <w:t>Az alsó ötöd 1 905 309 fős népességének 90,96 százaléka 20 ezer főnél kisebb településen él. A felső ötödben ez az arány lényegesen kisebb. Az összetételi különbség erősen hozzájárul az országos jövedelmi gradienshez, de a rétegek közötti eltérés azonos településméret mellett is megmarad.</w:t>
      </w:r>
    </w:p>
    <w:p>
      <w:r>
        <w:br w:type="page"/>
      </w:r>
    </w:p>
    <w:p>
      <w:pPr>
        <w:pStyle w:val="Heading1"/>
      </w:pPr>
      <w:r>
        <w:t>Térképi áttekintés</w:t>
      </w:r>
    </w:p>
    <w:p>
      <w:r>
        <w:rPr>
          <w:rFonts w:ascii="Arial" w:hAnsi="Arial"/>
          <w:b w:val="0"/>
          <w:i w:val="0"/>
          <w:color w:val="000000"/>
          <w:sz w:val="21"/>
        </w:rPr>
        <w:t>A két országos áttekintő térkép a lakott 100×100 méteres cellákat mutatja. A külön QGIS-projektben minden cella lekérdezhető, a két nézet és a mentőállomás-réteg pedig egymástól függetlenül kapcsolható.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47223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5_coverage_overvie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722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ableCaption"/>
        <w:jc w:val="center"/>
      </w:pPr>
      <w:r>
        <w:t>1. ábra  A 15 perces potenciális földrajzi lefedettség cellaszintű mintázata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47223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ounded_disadvantage_overvie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722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ableCaption"/>
        <w:jc w:val="center"/>
      </w:pPr>
      <w:r>
        <w:t>2. ábra  Az alsó jövedelmi ötöd és a modellezett P15 egymásra rakódó területi hátránya</w:t>
      </w:r>
    </w:p>
    <w:p>
      <w:r>
        <w:br w:type="page"/>
      </w:r>
    </w:p>
    <w:p>
      <w:pPr>
        <w:pStyle w:val="Heading1"/>
      </w:pPr>
      <w:r>
        <w:t>Módszer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 modul  Mentőbázistól a 100×100 méteres lakott népességcelláig számított potenciális földrajzi elérhetőség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Küszöb  A mentőállomásról való elindulástól számított legfeljebb 15 perc modellezett közúti menetidő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Népességi nevező  9 524 974 fő a 2026-os GeoX állomány 471 648 pozitív népességű cellájában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Feloldatlan esetek  42 977 fő a nevezőben marad, de nem számít elértnek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Bázishálózat  154 deduplikált OSM-rekord, hivatalos OMSZ-egyeztetés nélkül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Jövedelmi csoportok  Pozitív INCOME értékű cellák népességgel súlyozott országos decilisei</w:t>
      </w:r>
    </w:p>
    <w:p>
      <w:pPr>
        <w:pStyle w:val="Heading1"/>
      </w:pPr>
      <w:r>
        <w:t>Validáció</w:t>
      </w:r>
    </w:p>
    <w:p>
      <w:r>
        <w:rPr>
          <w:rFonts w:ascii="Arial" w:hAnsi="Arial"/>
          <w:b w:val="0"/>
          <w:i w:val="0"/>
          <w:color w:val="000000"/>
          <w:sz w:val="21"/>
        </w:rPr>
        <w:t>A számítási lánc belső ellenőrzései sikeresek voltak. A nyers GeoPackage 471 648 pozitív népességű és 471 648 különböző rácsazonosítójához pontosan 471 648 cellaeredmény kapcsolódott, ezért nincs összekapcsolási sokszorozás.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Az országos népesség a nyers állományban és az elemzésben egyaránt 9 524 974 fő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Az országos P15 független újraszámolása 6 015 569 fő és 63,155752 százalék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 pozitív jövedelmű 9 522 521 fő és a kizárt 2 453 fő összege visszaadja az országos népességet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 jövedelmi küszöbök külön SQL-ablakfüggvényes számítással egyeztek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 településméret csoportok és az életkori mezők összege visszaadja a megfelelő teljes népességet</w:t>
      </w:r>
    </w:p>
    <w:p>
      <w:pPr>
        <w:pStyle w:val="Heading1"/>
      </w:pPr>
      <w:r>
        <w:t>Értelmezési korlátok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 154 OSM-rekord nem teljes és nem hivatalos OMSZ-állomáslista. A területi szélsőértékek részben hiányzó vagy téves bázisadatot jelezhetnek.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 P15 modellezett bázis és cella közötti közúti menetidő. Nem tartalmaz híváskezelési, riasztási, indulási, foglaltsági vagy beteghez jutási időt.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Az INCOME cellaszintű modell. Egy cellán belül minden lakos ugyanazt az értéket kapja, ezért egyéni szegénységre nem következtethetünk.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 jövedelmi modell demográfiai összetételt és korábbi népességváltozást is használ. A jövedelmi és demográfiai rétegek nem független magyarázó változók.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 dokumentáció a település alatti jövedelmi becslést a legvilágosabban a városokra írja le. A teljes ország módszertani összehasonlíthatóságát a GeoX-szel tisztázni kell.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 POP_63_x mező és a dokumentáció 65 év feletti törzsszövege ellentmond egymásnak. A nyers mezőnév marad az irányadó a tisztázásig.</w:t>
      </w:r>
    </w:p>
    <w:p>
      <w:pPr>
        <w:pStyle w:val="ListNumber"/>
      </w:pPr>
      <w:r>
        <w:rPr>
          <w:rFonts w:ascii="Arial" w:hAnsi="Arial"/>
          <w:b w:val="0"/>
          <w:i w:val="0"/>
          <w:color w:val="000000"/>
          <w:sz w:val="21"/>
        </w:rPr>
        <w:t>Az alacsony mobilitás közvetlenül nem mérhető, mert nincs országos fogyatékossági, autótulajdonlási vagy mobilitási mező.</w:t>
      </w:r>
    </w:p>
    <w:p>
      <w:r>
        <w:br w:type="page"/>
      </w:r>
    </w:p>
    <w:p>
      <w:pPr>
        <w:pStyle w:val="Heading1"/>
      </w:pPr>
      <w:r>
        <w:t>Következtetés és következő lépések</w:t>
      </w:r>
    </w:p>
    <w:p>
      <w:r>
        <w:rPr>
          <w:rFonts w:ascii="Arial" w:hAnsi="Arial"/>
          <w:b w:val="0"/>
          <w:i w:val="0"/>
          <w:color w:val="000000"/>
          <w:sz w:val="21"/>
        </w:rPr>
        <w:t>A legerősebb új kutatási állítás várhatóan nem egyetlen országos P15 szám lesz, hanem az egymásra rakódó hátrány: az alacsony modellezett jövedelmű, kis településen élő népesség lényegesen rosszabb potenciális földrajzi elérhetősége. Ezt csak a hivatalos állomáslista egyeztetése és a jövedelmi változó országos módszertani megerősítése után szabad országos ellátási egyenlőtlenségként közölni.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 teljes aktuális hivatalos OMSZ bázislista beszerzése és a modell változatlan rétegdefiníciókkal történő újrafuttatása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A POP_63_x életkori jelentésének és az INCOME országos összehasonlíthatóságának írásos tisztázása a GeoX-szel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Érzékenységvizsgálat a magán vagy nem OMSZ jelölt bázisok kizárásával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Standardizált elemzés településméret, vármegye és beépítési jelleg figyelembevételével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1"/>
        </w:rPr>
        <w:t>Későbbi sérülékenységi réteg kialakítása autótulajdonlási, fogyatékossági és mobilitási adatok rendelkezésre állása esetén</w:t>
      </w:r>
    </w:p>
    <w:p>
      <w:pPr>
        <w:pStyle w:val="Heading1"/>
      </w:pPr>
      <w:r>
        <w:t>Adatforrások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0"/>
        </w:rPr>
        <w:t>GeoX HU 100×100 2026 EOV GeoPackage  2026-os népességi demográfiai és jövedelmi mezők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0"/>
        </w:rPr>
        <w:t>GeoX 100×100 Vásárlóerő adatbázis dokumentáció  2026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0"/>
        </w:rPr>
        <w:t>OpenStreetMap alapú deduplikált mentőállomás jegyzék  154 rekord  2026. szeptember 22.</w:t>
      </w:r>
    </w:p>
    <w:p>
      <w:pPr>
        <w:pStyle w:val="ListBullet"/>
      </w:pPr>
      <w:r>
        <w:rPr>
          <w:rFonts w:ascii="Arial" w:hAnsi="Arial"/>
          <w:b w:val="0"/>
          <w:i w:val="0"/>
          <w:color w:val="000000"/>
          <w:sz w:val="20"/>
        </w:rPr>
        <w:t>Geofabrik Magyarország OSM úthálózati kivonat  2026. szeptember 22.</w:t>
      </w:r>
    </w:p>
    <w:sectPr w:rsidR="00FC693F" w:rsidRPr="0006063C" w:rsidSect="00034616">
      <w:footerReference w:type="default" r:id="rId9"/>
      <w:pgSz w:w="12240" w:h="15840"/>
      <w:pgMar w:top="1080" w:right="1152" w:bottom="979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666666"/>
        <w:sz w:val="16"/>
      </w:rPr>
      <w:t xml:space="preserve">Mentőhálózat kutatási projekt    2026. október 18.    </w:t>
    </w:r>
    <w:r>
      <w:rPr>
        <w:rFonts w:ascii="Arial" w:hAnsi="Arial"/>
        <w:b w:val="0"/>
        <w:i w:val="0"/>
        <w:color w:val="666666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0" w:lineRule="auto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0" w:lineRule="auto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Caption">
    <w:name w:val="Table Caption"/>
    <w:pPr>
      <w:keepNext/>
      <w:spacing w:before="140" w:after="60"/>
    </w:pPr>
    <w:rPr>
      <w:rFonts w:ascii="Arial" w:hAnsi="Arial"/>
      <w:b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Demográfiai területi és jövedelmi egyenlőtlenségek</dc:title>
  <dc:subject>A mentőállomások 15 perces népességi hatókörének technikai próbaelemzése</dc:subject>
  <dc:creator>Mentőhálózat kutatási projekt</dc:creator>
  <cp:keywords>mentőállomás, P15, népességi lefedettség, jövedelem, területi egyenlőtlenség</cp:keywords>
  <dc:description>Készült 2026. október 18-án. Technikai próbaelemzés.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